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AFFF0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AFFF0"/>
        </w:rPr>
        <w:t>附件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shd w:val="clear" w:fill="FAFFF0"/>
        </w:rPr>
        <w:t>一：</w:t>
      </w:r>
    </w:p>
    <w:p>
      <w:pPr>
        <w:pStyle w:val="2"/>
        <w:keepNext w:val="0"/>
        <w:keepLines w:val="0"/>
        <w:widowControl/>
        <w:suppressLineNumbers w:val="0"/>
        <w:shd w:val="clear" w:fill="FAFFF0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fill="FAFFF0"/>
        </w:rPr>
        <w:t>宿州学院</w:t>
      </w:r>
      <w:bookmarkStart w:id="0" w:name="_GoBack"/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fill="FAFFF0"/>
        </w:rPr>
        <w:t>2021年度专任教师</w:t>
      </w:r>
      <w:bookmarkEnd w:id="0"/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1"/>
          <w:szCs w:val="31"/>
          <w:shd w:val="clear" w:fill="FAFFF0"/>
        </w:rPr>
        <w:t>（硕士研究生）招聘计划</w:t>
      </w:r>
    </w:p>
    <w:tbl>
      <w:tblPr>
        <w:tblW w:w="0" w:type="auto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AFFF0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7"/>
        <w:gridCol w:w="405"/>
        <w:gridCol w:w="1538"/>
        <w:gridCol w:w="3064"/>
        <w:gridCol w:w="2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AFFF0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tblCellSpacing w:w="0" w:type="dxa"/>
          <w:jc w:val="center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23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拟聘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31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7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文学与传媒学院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新闻学、传播学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本科为新闻传播学类专业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7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网络与新媒体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本科为新闻传播学类专业或计算机类专业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外国语学院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外国语言学及应用语言学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本科为商务英语专业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0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管理学院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企业管理、人力资源管理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岩土工程、市政工程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0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城乡规划与设计、住房与社区建设规划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1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商学院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会计学、企业管理(金融和财务管理方向)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本科为会计学、财务管理、审计学、金融学、金融工程、信息系统与信息管理等专业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管理科学与工程（物流方向）、企业管理（物流方向）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本科为物流管理、物流工程、工商管理、市场营销、电子商务等专业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音乐学院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舞蹈表演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本科为舞蹈表演专业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学前教育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本科为学前教育专业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合唱指挥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本科为合唱指挥专业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0" w:type="dxa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1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本科为美术学专业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23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体育学院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体育学（体操）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专硕须为国家一级及以上运动员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123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体育学（篮球、排球、足球）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专硕须为国家一级及以上运动员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美术与设计学院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5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美术学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服装与服饰设计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0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书法学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3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数学与统计学院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金融学、金融工程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本科为金融学或金融工程专业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  <w:jc w:val="center"/>
        </w:trPr>
        <w:tc>
          <w:tcPr>
            <w:tcW w:w="13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本科为数学与应用数学或信息与计算科学专业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13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机械与电子工程学院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电力系统及其自动化、 电力电子与电力传动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0" w:type="dxa"/>
          <w:jc w:val="center"/>
        </w:trPr>
        <w:tc>
          <w:tcPr>
            <w:tcW w:w="13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信号与信息处理、 控制理论与控制工程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0" w:type="dxa"/>
          <w:jc w:val="center"/>
        </w:trPr>
        <w:tc>
          <w:tcPr>
            <w:tcW w:w="13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化学化工学院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化工过程机械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13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环境与测绘工程学院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遥感科学与技术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本科为测绘工程或遥感科学与技术专业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课程与教学论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本科具有地理学科背景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  <w:jc w:val="center"/>
        </w:trPr>
        <w:tc>
          <w:tcPr>
            <w:tcW w:w="13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实验技术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40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环境类、测绘类相关专业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tblCellSpacing w:w="0" w:type="dxa"/>
          <w:jc w:val="center"/>
        </w:trPr>
        <w:tc>
          <w:tcPr>
            <w:tcW w:w="136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Style w:val="5"/>
                <w:rFonts w:hint="eastAsia" w:ascii="仿宋" w:hAnsi="仿宋" w:eastAsia="仿宋" w:cs="仿宋"/>
                <w:b/>
                <w:caps w:val="0"/>
                <w:spacing w:val="0"/>
                <w:sz w:val="24"/>
                <w:szCs w:val="24"/>
                <w:bdr w:val="none" w:color="auto" w:sz="0" w:space="0"/>
              </w:rPr>
              <w:t>信息工程学院</w:t>
            </w:r>
          </w:p>
        </w:tc>
        <w:tc>
          <w:tcPr>
            <w:tcW w:w="23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计算机科学与技术、计算机系统结构、信号与信息处理</w:t>
            </w:r>
          </w:p>
        </w:tc>
        <w:tc>
          <w:tcPr>
            <w:tcW w:w="2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专业或研究方向含嵌入式、数据库、多媒体、通信与信息、信号与信息、控制理论、检测技术、网络安全等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  <w:tblCellSpacing w:w="0" w:type="dxa"/>
          <w:jc w:val="center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控制理论与控制工程、系统工程、模式识别与智能系统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专业或研究方向含统计信息、大数据、云计算、人工智能、机器学习等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0" w:type="dxa"/>
          <w:jc w:val="center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软件工程、计算机软件与理论、计算机应用技术</w:t>
            </w: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专业或研究方向含软件理论、软件方法、软件技术、软件工程、计算机应用技术、数据挖掘等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136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jc w:val="center"/>
            </w:pPr>
            <w:r>
              <w:rPr>
                <w:rFonts w:hint="eastAsia" w:ascii="仿宋" w:hAnsi="仿宋" w:eastAsia="仿宋" w:cs="仿宋"/>
                <w:b w:val="0"/>
                <w:caps w:val="0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4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AFFF0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aps w:val="0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54AD8"/>
    <w:rsid w:val="3895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2020-11-30T01:12:00Z</dcterms:created>
  <dc:creator>Administrator</dc:creator>
  <cp:lastModifiedBy>Administrator</cp:lastModifiedBy>
  <dcterms:modified xsi:type="dcterms:W3CDTF">2020-11-30T01:12:52Z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